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1A74C5" w:rsidRPr="00D717E8" w:rsidP="00696957" w14:paraId="1C5724C8" w14:textId="73F38700">
      <w:pPr>
        <w:spacing w:line="480" w:lineRule="auto"/>
        <w:jc w:val="center"/>
        <w:rPr>
          <w:rFonts w:ascii="Bell MT" w:hAnsi="Bell MT"/>
          <w:b/>
          <w:bCs/>
          <w:sz w:val="24"/>
          <w:szCs w:val="24"/>
        </w:rPr>
      </w:pPr>
      <w:r w:rsidRPr="00D717E8">
        <w:rPr>
          <w:rFonts w:ascii="Bell MT" w:hAnsi="Bell MT"/>
          <w:b/>
          <w:bCs/>
          <w:sz w:val="24"/>
          <w:szCs w:val="24"/>
        </w:rPr>
        <w:t>Session 8 Discussion</w:t>
      </w:r>
    </w:p>
    <w:p w:rsidR="001A74C5" w:rsidRPr="00912B55" w:rsidP="00696957" w14:paraId="7D7295FE" w14:textId="608EF9F8">
      <w:pPr>
        <w:spacing w:line="480" w:lineRule="auto"/>
        <w:jc w:val="center"/>
        <w:rPr>
          <w:rFonts w:ascii="Bell MT" w:hAnsi="Bell MT"/>
          <w:b/>
          <w:bCs/>
          <w:sz w:val="24"/>
          <w:szCs w:val="24"/>
        </w:rPr>
      </w:pPr>
      <w:r w:rsidRPr="00912B55">
        <w:rPr>
          <w:rFonts w:ascii="Bell MT" w:hAnsi="Bell MT"/>
          <w:b/>
          <w:bCs/>
          <w:sz w:val="24"/>
          <w:szCs w:val="24"/>
        </w:rPr>
        <w:t>Financial Ratios</w:t>
      </w:r>
    </w:p>
    <w:p w:rsidR="005A6EF9" w:rsidRPr="003E3A83" w:rsidP="008A0B6B" w14:paraId="7CA6AB11" w14:textId="3DD05C52">
      <w:pPr>
        <w:spacing w:line="480" w:lineRule="auto"/>
        <w:jc w:val="both"/>
        <w:rPr>
          <w:rFonts w:ascii="Bell MT" w:hAnsi="Bell MT"/>
          <w:sz w:val="24"/>
          <w:szCs w:val="24"/>
        </w:rPr>
      </w:pPr>
      <w:r w:rsidRPr="003E3A83">
        <w:rPr>
          <w:rFonts w:ascii="Bell MT" w:hAnsi="Bell MT"/>
          <w:sz w:val="24"/>
          <w:szCs w:val="24"/>
        </w:rPr>
        <w:t xml:space="preserve">For this discussion, I have </w:t>
      </w:r>
      <w:r w:rsidRPr="003E3A83" w:rsidR="00C85CB4">
        <w:rPr>
          <w:rFonts w:ascii="Bell MT" w:hAnsi="Bell MT"/>
          <w:sz w:val="24"/>
          <w:szCs w:val="24"/>
        </w:rPr>
        <w:t>chosen</w:t>
      </w:r>
      <w:r w:rsidRPr="003E3A83">
        <w:rPr>
          <w:rFonts w:ascii="Bell MT" w:hAnsi="Bell MT"/>
          <w:sz w:val="24"/>
          <w:szCs w:val="24"/>
        </w:rPr>
        <w:t xml:space="preserve"> to discuss the following</w:t>
      </w:r>
      <w:r w:rsidRPr="003E3A83" w:rsidR="00A63233">
        <w:rPr>
          <w:rFonts w:ascii="Bell MT" w:hAnsi="Bell MT"/>
          <w:sz w:val="24"/>
          <w:szCs w:val="24"/>
        </w:rPr>
        <w:t xml:space="preserve"> </w:t>
      </w:r>
      <w:r w:rsidRPr="003E3A83" w:rsidR="008B4863">
        <w:rPr>
          <w:rFonts w:ascii="Bell MT" w:hAnsi="Bell MT"/>
          <w:sz w:val="24"/>
          <w:szCs w:val="24"/>
        </w:rPr>
        <w:t xml:space="preserve">two important financial ratios used by </w:t>
      </w:r>
      <w:r w:rsidRPr="003E3A83" w:rsidR="00CB47EE">
        <w:rPr>
          <w:rFonts w:ascii="Bell MT" w:hAnsi="Bell MT"/>
          <w:sz w:val="24"/>
          <w:szCs w:val="24"/>
        </w:rPr>
        <w:t>investment analysts</w:t>
      </w:r>
      <w:r w:rsidRPr="003E3A83" w:rsidR="002962EB">
        <w:rPr>
          <w:rFonts w:ascii="Bell MT" w:hAnsi="Bell MT"/>
          <w:sz w:val="24"/>
          <w:szCs w:val="24"/>
        </w:rPr>
        <w:t>:</w:t>
      </w:r>
    </w:p>
    <w:p w:rsidR="002962EB" w:rsidRPr="003E3A83" w:rsidP="008A0B6B" w14:paraId="4F63F4C6" w14:textId="22D3F88B">
      <w:pPr>
        <w:pStyle w:val="ListParagraph"/>
        <w:numPr>
          <w:ilvl w:val="0"/>
          <w:numId w:val="1"/>
        </w:numPr>
        <w:spacing w:line="480" w:lineRule="auto"/>
        <w:jc w:val="both"/>
        <w:rPr>
          <w:rFonts w:ascii="Bell MT" w:hAnsi="Bell MT"/>
          <w:b/>
          <w:bCs/>
          <w:sz w:val="24"/>
          <w:szCs w:val="24"/>
        </w:rPr>
      </w:pPr>
      <w:r w:rsidRPr="003E3A83">
        <w:rPr>
          <w:rFonts w:ascii="Bell MT" w:hAnsi="Bell MT"/>
          <w:b/>
          <w:bCs/>
          <w:sz w:val="24"/>
          <w:szCs w:val="24"/>
        </w:rPr>
        <w:t>Current liability coverage ratio</w:t>
      </w:r>
    </w:p>
    <w:p w:rsidR="004B1A93" w:rsidRPr="003E3A83" w:rsidP="008A0B6B" w14:paraId="38F2A01F" w14:textId="31A44EB4">
      <w:pPr>
        <w:spacing w:line="480" w:lineRule="auto"/>
        <w:jc w:val="both"/>
        <w:rPr>
          <w:rFonts w:ascii="Bell MT" w:hAnsi="Bell MT"/>
          <w:sz w:val="24"/>
          <w:szCs w:val="24"/>
        </w:rPr>
      </w:pPr>
      <w:r w:rsidRPr="003E3A83">
        <w:rPr>
          <w:rFonts w:ascii="Bell MT" w:hAnsi="Bell MT"/>
          <w:sz w:val="24"/>
          <w:szCs w:val="24"/>
        </w:rPr>
        <w:t xml:space="preserve">To decide </w:t>
      </w:r>
      <w:r w:rsidRPr="003E3A83" w:rsidR="001310D3">
        <w:rPr>
          <w:rFonts w:ascii="Bell MT" w:hAnsi="Bell MT"/>
          <w:sz w:val="24"/>
          <w:szCs w:val="24"/>
        </w:rPr>
        <w:t xml:space="preserve">whether </w:t>
      </w:r>
      <w:r w:rsidRPr="003E3A83" w:rsidR="00AA3222">
        <w:rPr>
          <w:rFonts w:ascii="Bell MT" w:hAnsi="Bell MT"/>
          <w:sz w:val="24"/>
          <w:szCs w:val="24"/>
        </w:rPr>
        <w:t xml:space="preserve">or not an organization </w:t>
      </w:r>
      <w:r w:rsidRPr="003E3A83" w:rsidR="00A61D20">
        <w:rPr>
          <w:rFonts w:ascii="Bell MT" w:hAnsi="Bell MT"/>
          <w:sz w:val="24"/>
          <w:szCs w:val="24"/>
        </w:rPr>
        <w:t xml:space="preserve">is in a position </w:t>
      </w:r>
      <w:r w:rsidRPr="003E3A83" w:rsidR="00ED69B8">
        <w:rPr>
          <w:rFonts w:ascii="Bell MT" w:hAnsi="Bell MT"/>
          <w:sz w:val="24"/>
          <w:szCs w:val="24"/>
        </w:rPr>
        <w:t xml:space="preserve">to repay its </w:t>
      </w:r>
      <w:r w:rsidRPr="003E3A83" w:rsidR="00E66A66">
        <w:rPr>
          <w:rFonts w:ascii="Bell MT" w:hAnsi="Bell MT"/>
          <w:sz w:val="24"/>
          <w:szCs w:val="24"/>
        </w:rPr>
        <w:t>debts</w:t>
      </w:r>
      <w:r w:rsidRPr="003E3A83" w:rsidR="00B871CB">
        <w:rPr>
          <w:rFonts w:ascii="Bell MT" w:hAnsi="Bell MT"/>
          <w:sz w:val="24"/>
          <w:szCs w:val="24"/>
        </w:rPr>
        <w:t xml:space="preserve">, it is important that </w:t>
      </w:r>
      <w:r w:rsidRPr="003E3A83" w:rsidR="007C42DE">
        <w:rPr>
          <w:rFonts w:ascii="Bell MT" w:hAnsi="Bell MT"/>
          <w:sz w:val="24"/>
          <w:szCs w:val="24"/>
        </w:rPr>
        <w:t xml:space="preserve">project managers </w:t>
      </w:r>
      <w:r w:rsidRPr="003E3A83" w:rsidR="002F5150">
        <w:rPr>
          <w:rFonts w:ascii="Bell MT" w:hAnsi="Bell MT"/>
          <w:sz w:val="24"/>
          <w:szCs w:val="24"/>
        </w:rPr>
        <w:t xml:space="preserve">determine the </w:t>
      </w:r>
      <w:r w:rsidRPr="003E3A83" w:rsidR="00FE06F6">
        <w:rPr>
          <w:rFonts w:ascii="Bell MT" w:hAnsi="Bell MT"/>
          <w:sz w:val="24"/>
          <w:szCs w:val="24"/>
        </w:rPr>
        <w:t>overall</w:t>
      </w:r>
      <w:r w:rsidRPr="003E3A83" w:rsidR="00544BE7">
        <w:rPr>
          <w:rFonts w:ascii="Bell MT" w:hAnsi="Bell MT"/>
          <w:sz w:val="24"/>
          <w:szCs w:val="24"/>
        </w:rPr>
        <w:t xml:space="preserve"> debt-to-capital </w:t>
      </w:r>
      <w:r w:rsidRPr="003E3A83" w:rsidR="001A64A4">
        <w:rPr>
          <w:rFonts w:ascii="Bell MT" w:hAnsi="Bell MT"/>
          <w:sz w:val="24"/>
          <w:szCs w:val="24"/>
        </w:rPr>
        <w:t xml:space="preserve">flow ratio. </w:t>
      </w:r>
      <w:r w:rsidRPr="003E3A83" w:rsidR="00145F43">
        <w:rPr>
          <w:rFonts w:ascii="Bell MT" w:hAnsi="Bell MT"/>
          <w:sz w:val="24"/>
          <w:szCs w:val="24"/>
        </w:rPr>
        <w:t xml:space="preserve">Arguably, these </w:t>
      </w:r>
      <w:r w:rsidRPr="003E3A83" w:rsidR="00DF4022">
        <w:rPr>
          <w:rFonts w:ascii="Bell MT" w:hAnsi="Bell MT"/>
          <w:sz w:val="24"/>
          <w:szCs w:val="24"/>
        </w:rPr>
        <w:t xml:space="preserve">figures </w:t>
      </w:r>
      <w:r w:rsidRPr="003E3A83" w:rsidR="00A12FD4">
        <w:rPr>
          <w:rFonts w:ascii="Bell MT" w:hAnsi="Bell MT"/>
          <w:sz w:val="24"/>
          <w:szCs w:val="24"/>
        </w:rPr>
        <w:t xml:space="preserve">are always of importance </w:t>
      </w:r>
      <w:r w:rsidRPr="003E3A83" w:rsidR="00F50F0C">
        <w:rPr>
          <w:rFonts w:ascii="Bell MT" w:hAnsi="Bell MT"/>
          <w:sz w:val="24"/>
          <w:szCs w:val="24"/>
        </w:rPr>
        <w:t xml:space="preserve">to the investors. </w:t>
      </w:r>
      <w:r w:rsidRPr="003E3A83" w:rsidR="002B6276">
        <w:rPr>
          <w:rFonts w:ascii="Bell MT" w:hAnsi="Bell MT"/>
          <w:sz w:val="24"/>
          <w:szCs w:val="24"/>
        </w:rPr>
        <w:t>In simple terms, the current cash debt ratio indicates an organization's real operating cash flow with its already existing liabilities.</w:t>
      </w:r>
      <w:r w:rsidRPr="003E3A83" w:rsidR="00FF3689">
        <w:rPr>
          <w:rFonts w:ascii="Bell MT" w:hAnsi="Bell MT"/>
          <w:sz w:val="24"/>
          <w:szCs w:val="24"/>
        </w:rPr>
        <w:t xml:space="preserve"> Current liability coverage ratios are </w:t>
      </w:r>
      <w:r w:rsidRPr="003E3A83" w:rsidR="00F04509">
        <w:rPr>
          <w:rFonts w:ascii="Bell MT" w:hAnsi="Bell MT"/>
          <w:sz w:val="24"/>
          <w:szCs w:val="24"/>
        </w:rPr>
        <w:t>observably important</w:t>
      </w:r>
      <w:r w:rsidRPr="003E3A83" w:rsidR="006058F3">
        <w:rPr>
          <w:rFonts w:ascii="Bell MT" w:hAnsi="Bell MT"/>
          <w:sz w:val="24"/>
          <w:szCs w:val="24"/>
        </w:rPr>
        <w:t xml:space="preserve"> because they show the company’s </w:t>
      </w:r>
      <w:r w:rsidRPr="003E3A83" w:rsidR="003F2F84">
        <w:rPr>
          <w:rFonts w:ascii="Bell MT" w:hAnsi="Bell MT"/>
          <w:sz w:val="24"/>
          <w:szCs w:val="24"/>
        </w:rPr>
        <w:t>potential to f</w:t>
      </w:r>
      <w:r w:rsidRPr="003E3A83" w:rsidR="00F92E9E">
        <w:rPr>
          <w:rFonts w:ascii="Bell MT" w:hAnsi="Bell MT"/>
          <w:sz w:val="24"/>
          <w:szCs w:val="24"/>
        </w:rPr>
        <w:t>und</w:t>
      </w:r>
      <w:r w:rsidRPr="003E3A83" w:rsidR="00533926">
        <w:rPr>
          <w:rFonts w:ascii="Bell MT" w:hAnsi="Bell MT"/>
          <w:sz w:val="24"/>
          <w:szCs w:val="24"/>
        </w:rPr>
        <w:t xml:space="preserve"> </w:t>
      </w:r>
      <w:r w:rsidRPr="003E3A83" w:rsidR="00A20F25">
        <w:rPr>
          <w:rFonts w:ascii="Bell MT" w:hAnsi="Bell MT"/>
          <w:sz w:val="24"/>
          <w:szCs w:val="24"/>
        </w:rPr>
        <w:t xml:space="preserve">its </w:t>
      </w:r>
      <w:r w:rsidRPr="003E3A83" w:rsidR="0098779B">
        <w:rPr>
          <w:rFonts w:ascii="Bell MT" w:hAnsi="Bell MT"/>
          <w:sz w:val="24"/>
          <w:szCs w:val="24"/>
        </w:rPr>
        <w:t>short-term</w:t>
      </w:r>
      <w:r w:rsidRPr="003E3A83" w:rsidR="00A20F25">
        <w:rPr>
          <w:rFonts w:ascii="Bell MT" w:hAnsi="Bell MT"/>
          <w:sz w:val="24"/>
          <w:szCs w:val="24"/>
        </w:rPr>
        <w:t xml:space="preserve"> debts </w:t>
      </w:r>
      <w:r w:rsidRPr="003E3A83" w:rsidR="005D4F83">
        <w:rPr>
          <w:rFonts w:ascii="Bell MT" w:hAnsi="Bell MT"/>
          <w:sz w:val="24"/>
          <w:szCs w:val="24"/>
        </w:rPr>
        <w:t xml:space="preserve">out of the cash flow from </w:t>
      </w:r>
      <w:r w:rsidRPr="003E3A83" w:rsidR="00C87480">
        <w:rPr>
          <w:rFonts w:ascii="Bell MT" w:hAnsi="Bell MT"/>
          <w:sz w:val="24"/>
          <w:szCs w:val="24"/>
        </w:rPr>
        <w:t xml:space="preserve">product sales </w:t>
      </w:r>
      <w:r w:rsidRPr="003E3A83" w:rsidR="00EA0F1E">
        <w:rPr>
          <w:rFonts w:ascii="Bell MT" w:hAnsi="Bell MT"/>
          <w:sz w:val="24"/>
          <w:szCs w:val="24"/>
        </w:rPr>
        <w:t>in the future years</w:t>
      </w:r>
      <w:sdt>
        <w:sdtPr>
          <w:rPr>
            <w:rFonts w:ascii="Bell MT" w:hAnsi="Bell MT"/>
            <w:sz w:val="24"/>
            <w:szCs w:val="24"/>
          </w:rPr>
          <w:id w:val="2038929246"/>
          <w:citation/>
        </w:sdtPr>
        <w:sdtContent>
          <w:r w:rsidR="0060633D">
            <w:rPr>
              <w:rFonts w:ascii="Bell MT" w:hAnsi="Bell MT"/>
              <w:sz w:val="24"/>
              <w:szCs w:val="24"/>
            </w:rPr>
            <w:fldChar w:fldCharType="begin"/>
          </w:r>
          <w:r w:rsidR="0060633D">
            <w:rPr>
              <w:rFonts w:ascii="Bell MT" w:hAnsi="Bell MT"/>
              <w:sz w:val="24"/>
              <w:szCs w:val="24"/>
            </w:rPr>
            <w:instrText xml:space="preserve"> CITATION Car21 \l 1033 </w:instrText>
          </w:r>
          <w:r w:rsidR="0060633D">
            <w:rPr>
              <w:rFonts w:ascii="Bell MT" w:hAnsi="Bell MT"/>
              <w:sz w:val="24"/>
              <w:szCs w:val="24"/>
            </w:rPr>
            <w:fldChar w:fldCharType="separate"/>
          </w:r>
          <w:r w:rsidR="0060633D">
            <w:rPr>
              <w:rFonts w:ascii="Bell MT" w:hAnsi="Bell MT"/>
              <w:noProof/>
              <w:sz w:val="24"/>
              <w:szCs w:val="24"/>
            </w:rPr>
            <w:t xml:space="preserve"> </w:t>
          </w:r>
          <w:r w:rsidRPr="0060633D" w:rsidR="0060633D">
            <w:rPr>
              <w:rFonts w:ascii="Bell MT" w:hAnsi="Bell MT"/>
              <w:noProof/>
              <w:sz w:val="24"/>
              <w:szCs w:val="24"/>
            </w:rPr>
            <w:t>(Carlson, 2021)</w:t>
          </w:r>
          <w:r w:rsidR="0060633D">
            <w:rPr>
              <w:rFonts w:ascii="Bell MT" w:hAnsi="Bell MT"/>
              <w:sz w:val="24"/>
              <w:szCs w:val="24"/>
            </w:rPr>
            <w:fldChar w:fldCharType="end"/>
          </w:r>
        </w:sdtContent>
      </w:sdt>
      <w:r w:rsidRPr="003E3A83" w:rsidR="00EA0F1E">
        <w:rPr>
          <w:rFonts w:ascii="Bell MT" w:hAnsi="Bell MT"/>
          <w:sz w:val="24"/>
          <w:szCs w:val="24"/>
        </w:rPr>
        <w:t xml:space="preserve">. </w:t>
      </w:r>
    </w:p>
    <w:p w:rsidR="0098779B" w:rsidRPr="003E3A83" w:rsidP="008A0B6B" w14:paraId="2CA3CCF5" w14:textId="164AC15F">
      <w:pPr>
        <w:pStyle w:val="ListParagraph"/>
        <w:numPr>
          <w:ilvl w:val="0"/>
          <w:numId w:val="2"/>
        </w:numPr>
        <w:spacing w:line="480" w:lineRule="auto"/>
        <w:jc w:val="both"/>
        <w:rPr>
          <w:rFonts w:ascii="Bell MT" w:hAnsi="Bell MT"/>
          <w:b/>
          <w:bCs/>
          <w:sz w:val="24"/>
          <w:szCs w:val="24"/>
        </w:rPr>
      </w:pPr>
      <w:r w:rsidRPr="003E3A83">
        <w:rPr>
          <w:rFonts w:ascii="Bell MT" w:hAnsi="Bell MT"/>
          <w:b/>
          <w:bCs/>
          <w:sz w:val="24"/>
          <w:szCs w:val="24"/>
        </w:rPr>
        <w:t>Current Financial Debt coverage = Operating Cash Flow / Total Average Liabilities</w:t>
      </w:r>
    </w:p>
    <w:p w:rsidR="00AA6A8E" w:rsidRPr="003E3A83" w:rsidP="008A0B6B" w14:paraId="4CE90EC9" w14:textId="144745C8">
      <w:pPr>
        <w:spacing w:line="480" w:lineRule="auto"/>
        <w:jc w:val="both"/>
        <w:rPr>
          <w:rFonts w:ascii="Bell MT" w:hAnsi="Bell MT"/>
          <w:sz w:val="24"/>
          <w:szCs w:val="24"/>
        </w:rPr>
      </w:pPr>
      <w:r w:rsidRPr="003E3A83">
        <w:rPr>
          <w:rFonts w:ascii="Bell MT" w:hAnsi="Bell MT"/>
          <w:sz w:val="24"/>
          <w:szCs w:val="24"/>
        </w:rPr>
        <w:t>The current debt-ratio OCF tests the capacity of a company to manage its brief-term debt rates. That's why it is often easier to get a high ratio rather than a low one.</w:t>
      </w:r>
      <w:r w:rsidRPr="003E3A83">
        <w:rPr>
          <w:rFonts w:ascii="Bell MT" w:hAnsi="Bell MT"/>
          <w:sz w:val="24"/>
          <w:szCs w:val="24"/>
        </w:rPr>
        <w:t xml:space="preserve"> </w:t>
      </w:r>
      <w:r w:rsidRPr="003E3A83">
        <w:rPr>
          <w:rFonts w:ascii="Bell MT" w:hAnsi="Bell MT"/>
          <w:sz w:val="24"/>
          <w:szCs w:val="24"/>
        </w:rPr>
        <w:t>A higher ratio indicates the money is sufficient for debt servicing. This ensures that the company will not have to sell its stock, use investments or borrow more capital to keep up with it</w:t>
      </w:r>
      <w:sdt>
        <w:sdtPr>
          <w:rPr>
            <w:rFonts w:ascii="Bell MT" w:hAnsi="Bell MT"/>
            <w:sz w:val="24"/>
            <w:szCs w:val="24"/>
          </w:rPr>
          <w:id w:val="-1552990511"/>
          <w:citation/>
        </w:sdtPr>
        <w:sdtContent>
          <w:r w:rsidR="00D95159">
            <w:rPr>
              <w:rFonts w:ascii="Bell MT" w:hAnsi="Bell MT"/>
              <w:sz w:val="24"/>
              <w:szCs w:val="24"/>
            </w:rPr>
            <w:fldChar w:fldCharType="begin"/>
          </w:r>
          <w:r w:rsidR="00D95159">
            <w:rPr>
              <w:rFonts w:ascii="Bell MT" w:hAnsi="Bell MT"/>
              <w:sz w:val="24"/>
              <w:szCs w:val="24"/>
            </w:rPr>
            <w:instrText xml:space="preserve"> CITATION Car21 \l 1033 </w:instrText>
          </w:r>
          <w:r w:rsidR="00D95159">
            <w:rPr>
              <w:rFonts w:ascii="Bell MT" w:hAnsi="Bell MT"/>
              <w:sz w:val="24"/>
              <w:szCs w:val="24"/>
            </w:rPr>
            <w:fldChar w:fldCharType="separate"/>
          </w:r>
          <w:r w:rsidR="00D95159">
            <w:rPr>
              <w:rFonts w:ascii="Bell MT" w:hAnsi="Bell MT"/>
              <w:noProof/>
              <w:sz w:val="24"/>
              <w:szCs w:val="24"/>
            </w:rPr>
            <w:t xml:space="preserve"> </w:t>
          </w:r>
          <w:r w:rsidRPr="00D95159" w:rsidR="00D95159">
            <w:rPr>
              <w:rFonts w:ascii="Bell MT" w:hAnsi="Bell MT"/>
              <w:noProof/>
              <w:sz w:val="24"/>
              <w:szCs w:val="24"/>
            </w:rPr>
            <w:t>(Carlson, 2021)</w:t>
          </w:r>
          <w:r w:rsidR="00D95159">
            <w:rPr>
              <w:rFonts w:ascii="Bell MT" w:hAnsi="Bell MT"/>
              <w:sz w:val="24"/>
              <w:szCs w:val="24"/>
            </w:rPr>
            <w:fldChar w:fldCharType="end"/>
          </w:r>
        </w:sdtContent>
      </w:sdt>
      <w:r w:rsidRPr="003E3A83">
        <w:rPr>
          <w:rFonts w:ascii="Bell MT" w:hAnsi="Bell MT"/>
          <w:sz w:val="24"/>
          <w:szCs w:val="24"/>
        </w:rPr>
        <w:t>.</w:t>
      </w:r>
    </w:p>
    <w:p w:rsidR="00B075F7" w:rsidRPr="00EB1002" w:rsidP="008A0B6B" w14:paraId="350843BC" w14:textId="7708DBEA">
      <w:pPr>
        <w:pStyle w:val="ListParagraph"/>
        <w:numPr>
          <w:ilvl w:val="0"/>
          <w:numId w:val="1"/>
        </w:numPr>
        <w:spacing w:line="480" w:lineRule="auto"/>
        <w:jc w:val="both"/>
        <w:rPr>
          <w:rFonts w:ascii="Bell MT" w:hAnsi="Bell MT"/>
          <w:b/>
          <w:bCs/>
          <w:sz w:val="24"/>
          <w:szCs w:val="24"/>
        </w:rPr>
      </w:pPr>
      <w:r w:rsidRPr="00EB1002">
        <w:rPr>
          <w:rFonts w:ascii="Bell MT" w:hAnsi="Bell MT"/>
          <w:b/>
          <w:bCs/>
          <w:sz w:val="24"/>
          <w:szCs w:val="24"/>
        </w:rPr>
        <w:t>Cas</w:t>
      </w:r>
      <w:r w:rsidRPr="00EB1002" w:rsidR="006533E1">
        <w:rPr>
          <w:rFonts w:ascii="Bell MT" w:hAnsi="Bell MT"/>
          <w:b/>
          <w:bCs/>
          <w:sz w:val="24"/>
          <w:szCs w:val="24"/>
        </w:rPr>
        <w:t>h</w:t>
      </w:r>
      <w:r w:rsidRPr="00EB1002">
        <w:rPr>
          <w:rFonts w:ascii="Bell MT" w:hAnsi="Bell MT"/>
          <w:b/>
          <w:bCs/>
          <w:sz w:val="24"/>
          <w:szCs w:val="24"/>
        </w:rPr>
        <w:t xml:space="preserve"> flow margin </w:t>
      </w:r>
    </w:p>
    <w:p w:rsidR="003A017B" w:rsidRPr="003E3A83" w:rsidP="008A0B6B" w14:paraId="7950CA58" w14:textId="13A6547E">
      <w:pPr>
        <w:spacing w:line="480" w:lineRule="auto"/>
        <w:jc w:val="both"/>
        <w:rPr>
          <w:rFonts w:ascii="Bell MT" w:hAnsi="Bell MT"/>
          <w:sz w:val="24"/>
          <w:szCs w:val="24"/>
        </w:rPr>
      </w:pPr>
      <w:r w:rsidRPr="003E3A83">
        <w:rPr>
          <w:rFonts w:ascii="Bell MT" w:hAnsi="Bell MT"/>
          <w:sz w:val="24"/>
          <w:szCs w:val="24"/>
        </w:rPr>
        <w:t xml:space="preserve">Cash flow margin determines </w:t>
      </w:r>
      <w:r w:rsidRPr="003E3A83" w:rsidR="00F0705B">
        <w:rPr>
          <w:rFonts w:ascii="Bell MT" w:hAnsi="Bell MT"/>
          <w:sz w:val="24"/>
          <w:szCs w:val="24"/>
        </w:rPr>
        <w:t xml:space="preserve">an organization’s </w:t>
      </w:r>
      <w:r w:rsidRPr="003E3A83" w:rsidR="002A6DFD">
        <w:rPr>
          <w:rFonts w:ascii="Bell MT" w:hAnsi="Bell MT"/>
          <w:sz w:val="24"/>
          <w:szCs w:val="24"/>
        </w:rPr>
        <w:t xml:space="preserve">potential </w:t>
      </w:r>
      <w:r w:rsidRPr="003E3A83" w:rsidR="00031783">
        <w:rPr>
          <w:rFonts w:ascii="Bell MT" w:hAnsi="Bell MT"/>
          <w:sz w:val="24"/>
          <w:szCs w:val="24"/>
        </w:rPr>
        <w:t>to obtain cash from sales</w:t>
      </w:r>
      <w:r w:rsidRPr="003E3A83" w:rsidR="00AE372E">
        <w:rPr>
          <w:rFonts w:ascii="Bell MT" w:hAnsi="Bell MT"/>
          <w:sz w:val="24"/>
          <w:szCs w:val="24"/>
        </w:rPr>
        <w:t xml:space="preserve">. </w:t>
      </w:r>
      <w:r w:rsidRPr="003E3A83" w:rsidR="00945EFB">
        <w:rPr>
          <w:rFonts w:ascii="Bell MT" w:hAnsi="Bell MT"/>
          <w:sz w:val="24"/>
          <w:szCs w:val="24"/>
        </w:rPr>
        <w:t xml:space="preserve">In essence, this ratio </w:t>
      </w:r>
      <w:r w:rsidRPr="003E3A83" w:rsidR="00480997">
        <w:rPr>
          <w:rFonts w:ascii="Bell MT" w:hAnsi="Bell MT"/>
          <w:sz w:val="24"/>
          <w:szCs w:val="24"/>
        </w:rPr>
        <w:t xml:space="preserve">determines the amount of operating cash. </w:t>
      </w:r>
      <w:r w:rsidRPr="003E3A83" w:rsidR="0064568D">
        <w:rPr>
          <w:rFonts w:ascii="Bell MT" w:hAnsi="Bell MT"/>
          <w:sz w:val="24"/>
          <w:szCs w:val="24"/>
        </w:rPr>
        <w:t>In simple terms</w:t>
      </w:r>
      <w:r w:rsidRPr="003E3A83" w:rsidR="0042633C">
        <w:rPr>
          <w:rFonts w:ascii="Bell MT" w:hAnsi="Bell MT"/>
          <w:sz w:val="24"/>
          <w:szCs w:val="24"/>
        </w:rPr>
        <w:t xml:space="preserve">, it allows investors </w:t>
      </w:r>
      <w:r w:rsidRPr="003E3A83" w:rsidR="00ED221C">
        <w:rPr>
          <w:rFonts w:ascii="Bell MT" w:hAnsi="Bell MT"/>
          <w:sz w:val="24"/>
          <w:szCs w:val="24"/>
        </w:rPr>
        <w:t xml:space="preserve">to </w:t>
      </w:r>
      <w:r w:rsidRPr="003E3A83" w:rsidR="00D32DDB">
        <w:rPr>
          <w:rFonts w:ascii="Bell MT" w:hAnsi="Bell MT"/>
          <w:sz w:val="24"/>
          <w:szCs w:val="24"/>
        </w:rPr>
        <w:t xml:space="preserve">assess </w:t>
      </w:r>
      <w:r w:rsidRPr="003E3A83" w:rsidR="00FE330B">
        <w:rPr>
          <w:rFonts w:ascii="Bell MT" w:hAnsi="Bell MT"/>
          <w:sz w:val="24"/>
          <w:szCs w:val="24"/>
        </w:rPr>
        <w:t xml:space="preserve">the financial status </w:t>
      </w:r>
      <w:r w:rsidRPr="003E3A83" w:rsidR="00E8765A">
        <w:rPr>
          <w:rFonts w:ascii="Bell MT" w:hAnsi="Bell MT"/>
          <w:sz w:val="24"/>
          <w:szCs w:val="24"/>
        </w:rPr>
        <w:t xml:space="preserve">of an </w:t>
      </w:r>
      <w:r w:rsidRPr="003E3A83" w:rsidR="00157F4F">
        <w:rPr>
          <w:rFonts w:ascii="Bell MT" w:hAnsi="Bell MT"/>
          <w:sz w:val="24"/>
          <w:szCs w:val="24"/>
        </w:rPr>
        <w:t xml:space="preserve">organization and estimate its potential growth. </w:t>
      </w:r>
    </w:p>
    <w:p w:rsidR="000F10B7" w:rsidRPr="000F10B7" w:rsidP="008A0B6B" w14:paraId="2470DF58" w14:textId="77777777">
      <w:pPr>
        <w:pStyle w:val="ListParagraph"/>
        <w:numPr>
          <w:ilvl w:val="0"/>
          <w:numId w:val="2"/>
        </w:numPr>
        <w:spacing w:line="480" w:lineRule="auto"/>
        <w:jc w:val="both"/>
        <w:rPr>
          <w:rFonts w:ascii="Bell MT" w:hAnsi="Bell MT"/>
          <w:b/>
          <w:bCs/>
          <w:sz w:val="24"/>
          <w:szCs w:val="24"/>
        </w:rPr>
      </w:pPr>
      <w:r w:rsidRPr="000F10B7">
        <w:rPr>
          <w:rFonts w:ascii="Bell MT" w:hAnsi="Bell MT"/>
          <w:b/>
          <w:bCs/>
          <w:i/>
          <w:iCs/>
          <w:sz w:val="24"/>
          <w:szCs w:val="24"/>
        </w:rPr>
        <w:t>CFO/R= cash flow from business / sales revenues* 100%</w:t>
      </w:r>
    </w:p>
    <w:p w:rsidR="00814790" w:rsidP="008A0B6B" w14:paraId="5125C79D" w14:textId="2A870743">
      <w:pPr>
        <w:spacing w:line="480" w:lineRule="auto"/>
        <w:jc w:val="both"/>
        <w:rPr>
          <w:rFonts w:ascii="Bell MT" w:hAnsi="Bell MT"/>
          <w:sz w:val="24"/>
          <w:szCs w:val="24"/>
        </w:rPr>
      </w:pPr>
      <w:r w:rsidRPr="003E3A83">
        <w:rPr>
          <w:rFonts w:ascii="Bell MT" w:hAnsi="Bell MT"/>
          <w:sz w:val="24"/>
          <w:szCs w:val="24"/>
        </w:rPr>
        <w:t>The higher the cash flow margin, the healthier the company. The high indicator value is especially desirable. Indeed, there is no simple definition for calculation, as the variable value depends on the various operational types.</w:t>
      </w:r>
      <w:r w:rsidRPr="003E3A83" w:rsidR="00C81BE6">
        <w:rPr>
          <w:rFonts w:ascii="Bell MT" w:hAnsi="Bell MT"/>
          <w:sz w:val="24"/>
          <w:szCs w:val="24"/>
        </w:rPr>
        <w:t xml:space="preserve"> It is important to note that </w:t>
      </w:r>
      <w:r w:rsidRPr="003E3A83" w:rsidR="00CF0B5A">
        <w:rPr>
          <w:rFonts w:ascii="Bell MT" w:hAnsi="Bell MT"/>
          <w:sz w:val="24"/>
          <w:szCs w:val="24"/>
        </w:rPr>
        <w:t xml:space="preserve">if the cash flow from </w:t>
      </w:r>
      <w:r w:rsidRPr="003E3A83" w:rsidR="003A3DC6">
        <w:rPr>
          <w:rFonts w:ascii="Bell MT" w:hAnsi="Bell MT"/>
          <w:sz w:val="24"/>
          <w:szCs w:val="24"/>
        </w:rPr>
        <w:t>operations does not improve</w:t>
      </w:r>
      <w:r w:rsidRPr="003E3A83" w:rsidR="00EA1C1C">
        <w:rPr>
          <w:rFonts w:ascii="Bell MT" w:hAnsi="Bell MT"/>
          <w:sz w:val="24"/>
          <w:szCs w:val="24"/>
        </w:rPr>
        <w:t xml:space="preserve">, then the company is not headed </w:t>
      </w:r>
      <w:r w:rsidRPr="003E3A83" w:rsidR="008974D9">
        <w:rPr>
          <w:rFonts w:ascii="Bell MT" w:hAnsi="Bell MT"/>
          <w:sz w:val="24"/>
          <w:szCs w:val="24"/>
        </w:rPr>
        <w:t xml:space="preserve">in the right </w:t>
      </w:r>
      <w:r w:rsidRPr="003E3A83" w:rsidR="00E15236">
        <w:rPr>
          <w:rFonts w:ascii="Bell MT" w:hAnsi="Bell MT"/>
          <w:sz w:val="24"/>
          <w:szCs w:val="24"/>
        </w:rPr>
        <w:t xml:space="preserve">direction. </w:t>
      </w:r>
      <w:r w:rsidRPr="003E3A83" w:rsidR="00482911">
        <w:rPr>
          <w:rFonts w:ascii="Bell MT" w:hAnsi="Bell MT"/>
          <w:sz w:val="24"/>
          <w:szCs w:val="24"/>
        </w:rPr>
        <w:t>O</w:t>
      </w:r>
      <w:r w:rsidRPr="003E3A83" w:rsidR="00441592">
        <w:rPr>
          <w:rFonts w:ascii="Bell MT" w:hAnsi="Bell MT"/>
          <w:sz w:val="24"/>
          <w:szCs w:val="24"/>
        </w:rPr>
        <w:t>bservably</w:t>
      </w:r>
      <w:r w:rsidRPr="003E3A83" w:rsidR="00482911">
        <w:rPr>
          <w:rFonts w:ascii="Bell MT" w:hAnsi="Bell MT"/>
          <w:sz w:val="24"/>
          <w:szCs w:val="24"/>
        </w:rPr>
        <w:t xml:space="preserve">, such trends are indicative </w:t>
      </w:r>
      <w:r w:rsidRPr="003E3A83" w:rsidR="005161F5">
        <w:rPr>
          <w:rFonts w:ascii="Bell MT" w:hAnsi="Bell MT"/>
          <w:sz w:val="24"/>
          <w:szCs w:val="24"/>
        </w:rPr>
        <w:t xml:space="preserve">of </w:t>
      </w:r>
      <w:r w:rsidRPr="003E3A83" w:rsidR="00DD6ADA">
        <w:rPr>
          <w:rFonts w:ascii="Bell MT" w:hAnsi="Bell MT"/>
          <w:sz w:val="24"/>
          <w:szCs w:val="24"/>
        </w:rPr>
        <w:t xml:space="preserve">negative </w:t>
      </w:r>
      <w:r w:rsidRPr="003E3A83" w:rsidR="002C2904">
        <w:rPr>
          <w:rFonts w:ascii="Bell MT" w:hAnsi="Bell MT"/>
          <w:sz w:val="24"/>
          <w:szCs w:val="24"/>
        </w:rPr>
        <w:t xml:space="preserve">patterns for the company and may result in </w:t>
      </w:r>
      <w:r w:rsidRPr="003E3A83" w:rsidR="00323EC9">
        <w:rPr>
          <w:rFonts w:ascii="Bell MT" w:hAnsi="Bell MT"/>
          <w:sz w:val="24"/>
          <w:szCs w:val="24"/>
        </w:rPr>
        <w:t>relatively stable losses</w:t>
      </w:r>
      <w:r w:rsidRPr="003E3A83" w:rsidR="002E2EFC">
        <w:rPr>
          <w:rFonts w:ascii="Bell MT" w:hAnsi="Bell MT"/>
          <w:sz w:val="24"/>
          <w:szCs w:val="24"/>
        </w:rPr>
        <w:t xml:space="preserve">. </w:t>
      </w:r>
      <w:r w:rsidRPr="003E3A83" w:rsidR="009F13E6">
        <w:rPr>
          <w:rFonts w:ascii="Bell MT" w:hAnsi="Bell MT"/>
          <w:sz w:val="24"/>
          <w:szCs w:val="24"/>
        </w:rPr>
        <w:t xml:space="preserve">Generally, </w:t>
      </w:r>
      <w:r w:rsidRPr="003E3A83" w:rsidR="00B87ACB">
        <w:rPr>
          <w:rFonts w:ascii="Bell MT" w:hAnsi="Bell MT"/>
          <w:sz w:val="24"/>
          <w:szCs w:val="24"/>
        </w:rPr>
        <w:t xml:space="preserve">cash flows from operate </w:t>
      </w:r>
      <w:r w:rsidRPr="003E3A83" w:rsidR="0002770D">
        <w:rPr>
          <w:rFonts w:ascii="Bell MT" w:hAnsi="Bell MT"/>
          <w:sz w:val="24"/>
          <w:szCs w:val="24"/>
        </w:rPr>
        <w:t xml:space="preserve">should </w:t>
      </w:r>
      <w:r w:rsidRPr="003E3A83" w:rsidR="00692F05">
        <w:rPr>
          <w:rFonts w:ascii="Bell MT" w:hAnsi="Bell MT"/>
          <w:sz w:val="24"/>
          <w:szCs w:val="24"/>
        </w:rPr>
        <w:t xml:space="preserve">correspond with the revenues. </w:t>
      </w:r>
    </w:p>
    <w:p w:rsidR="001F3C76" w:rsidP="008A0B6B" w14:paraId="7F91AD68" w14:textId="77777777">
      <w:pPr>
        <w:spacing w:line="480" w:lineRule="auto"/>
        <w:jc w:val="both"/>
        <w:rPr>
          <w:rFonts w:ascii="Bell MT" w:hAnsi="Bell MT"/>
          <w:sz w:val="24"/>
          <w:szCs w:val="24"/>
        </w:rPr>
      </w:pPr>
    </w:p>
    <w:p w:rsidR="001F3C76" w:rsidP="008A0B6B" w14:paraId="79B0239B" w14:textId="77777777">
      <w:pPr>
        <w:spacing w:line="480" w:lineRule="auto"/>
        <w:jc w:val="both"/>
        <w:rPr>
          <w:rFonts w:ascii="Bell MT" w:hAnsi="Bell MT"/>
          <w:sz w:val="24"/>
          <w:szCs w:val="24"/>
        </w:rPr>
      </w:pPr>
    </w:p>
    <w:p w:rsidR="001F3C76" w:rsidP="008A0B6B" w14:paraId="0661CA72" w14:textId="77777777">
      <w:pPr>
        <w:spacing w:line="480" w:lineRule="auto"/>
        <w:jc w:val="both"/>
        <w:rPr>
          <w:rFonts w:ascii="Bell MT" w:hAnsi="Bell MT"/>
          <w:sz w:val="24"/>
          <w:szCs w:val="24"/>
        </w:rPr>
      </w:pPr>
    </w:p>
    <w:p w:rsidR="001F3C76" w:rsidP="008A0B6B" w14:paraId="4D212CE9" w14:textId="77777777">
      <w:pPr>
        <w:spacing w:line="480" w:lineRule="auto"/>
        <w:jc w:val="both"/>
        <w:rPr>
          <w:rFonts w:ascii="Bell MT" w:hAnsi="Bell MT"/>
          <w:sz w:val="24"/>
          <w:szCs w:val="24"/>
        </w:rPr>
      </w:pPr>
    </w:p>
    <w:p w:rsidR="001F3C76" w:rsidP="008A0B6B" w14:paraId="754C8D5E" w14:textId="77777777">
      <w:pPr>
        <w:spacing w:line="480" w:lineRule="auto"/>
        <w:jc w:val="both"/>
        <w:rPr>
          <w:rFonts w:ascii="Bell MT" w:hAnsi="Bell MT"/>
          <w:sz w:val="24"/>
          <w:szCs w:val="24"/>
        </w:rPr>
      </w:pPr>
    </w:p>
    <w:p w:rsidR="001F3C76" w:rsidP="008A0B6B" w14:paraId="490745D7" w14:textId="77777777">
      <w:pPr>
        <w:spacing w:line="480" w:lineRule="auto"/>
        <w:jc w:val="both"/>
        <w:rPr>
          <w:rFonts w:ascii="Bell MT" w:hAnsi="Bell MT"/>
          <w:sz w:val="24"/>
          <w:szCs w:val="24"/>
        </w:rPr>
      </w:pPr>
    </w:p>
    <w:p w:rsidR="001F3C76" w:rsidP="008A0B6B" w14:paraId="59B6DB5A" w14:textId="77777777">
      <w:pPr>
        <w:spacing w:line="480" w:lineRule="auto"/>
        <w:jc w:val="both"/>
        <w:rPr>
          <w:rFonts w:ascii="Bell MT" w:hAnsi="Bell MT"/>
          <w:sz w:val="24"/>
          <w:szCs w:val="24"/>
        </w:rPr>
      </w:pPr>
    </w:p>
    <w:p w:rsidR="001F3C76" w:rsidP="008A0B6B" w14:paraId="361B77E0" w14:textId="77777777">
      <w:pPr>
        <w:spacing w:line="480" w:lineRule="auto"/>
        <w:jc w:val="both"/>
        <w:rPr>
          <w:rFonts w:ascii="Bell MT" w:hAnsi="Bell MT"/>
          <w:sz w:val="24"/>
          <w:szCs w:val="24"/>
        </w:rPr>
      </w:pPr>
    </w:p>
    <w:p w:rsidR="001F3C76" w:rsidP="008A0B6B" w14:paraId="6A2B3E8E" w14:textId="77777777">
      <w:pPr>
        <w:spacing w:line="480" w:lineRule="auto"/>
        <w:jc w:val="both"/>
        <w:rPr>
          <w:rFonts w:ascii="Bell MT" w:hAnsi="Bell MT"/>
          <w:sz w:val="24"/>
          <w:szCs w:val="24"/>
        </w:rPr>
      </w:pPr>
    </w:p>
    <w:p w:rsidR="001F3C76" w:rsidP="008A0B6B" w14:paraId="16644142" w14:textId="77777777">
      <w:pPr>
        <w:spacing w:line="480" w:lineRule="auto"/>
        <w:jc w:val="both"/>
        <w:rPr>
          <w:rFonts w:ascii="Bell MT" w:hAnsi="Bell MT"/>
          <w:sz w:val="24"/>
          <w:szCs w:val="24"/>
        </w:rPr>
      </w:pPr>
    </w:p>
    <w:p w:rsidR="001F3C76" w:rsidP="008A0B6B" w14:paraId="66066593" w14:textId="77777777">
      <w:pPr>
        <w:spacing w:line="480" w:lineRule="auto"/>
        <w:jc w:val="both"/>
        <w:rPr>
          <w:rFonts w:ascii="Bell MT" w:hAnsi="Bell MT"/>
          <w:sz w:val="24"/>
          <w:szCs w:val="24"/>
        </w:rPr>
      </w:pPr>
    </w:p>
    <w:p w:rsidR="001F3C76" w:rsidP="008A0B6B" w14:paraId="57950E74" w14:textId="77777777">
      <w:pPr>
        <w:spacing w:line="480" w:lineRule="auto"/>
        <w:jc w:val="both"/>
        <w:rPr>
          <w:rFonts w:ascii="Bell MT" w:hAnsi="Bell MT"/>
          <w:sz w:val="24"/>
          <w:szCs w:val="24"/>
        </w:rPr>
      </w:pPr>
    </w:p>
    <w:p w:rsidR="001F3C76" w:rsidP="008A0B6B" w14:paraId="37448E34" w14:textId="77777777">
      <w:pPr>
        <w:spacing w:line="480" w:lineRule="auto"/>
        <w:jc w:val="both"/>
        <w:rPr>
          <w:rFonts w:ascii="Bell MT" w:hAnsi="Bell MT"/>
          <w:sz w:val="24"/>
          <w:szCs w:val="24"/>
        </w:rPr>
      </w:pPr>
    </w:p>
    <w:p w:rsidR="00D9511A" w:rsidRPr="00FC12CB" w:rsidP="00FC12CB" w14:paraId="192E5CF9" w14:textId="26661EC8">
      <w:pPr>
        <w:spacing w:line="480" w:lineRule="auto"/>
        <w:jc w:val="center"/>
        <w:rPr>
          <w:rFonts w:ascii="Bell MT" w:hAnsi="Bell MT"/>
          <w:b/>
          <w:bCs/>
          <w:sz w:val="24"/>
          <w:szCs w:val="24"/>
        </w:rPr>
      </w:pPr>
      <w:r w:rsidRPr="00FC12CB">
        <w:rPr>
          <w:rFonts w:ascii="Bell MT" w:hAnsi="Bell MT"/>
          <w:b/>
          <w:bCs/>
          <w:sz w:val="24"/>
          <w:szCs w:val="24"/>
        </w:rPr>
        <w:t>References</w:t>
      </w:r>
    </w:p>
    <w:p w:rsidR="00BC588E" w:rsidP="00991E69" w14:paraId="21DFF0E2" w14:textId="2FE0AD8E">
      <w:pPr>
        <w:spacing w:line="480" w:lineRule="auto"/>
        <w:ind w:left="720" w:hanging="720"/>
        <w:jc w:val="both"/>
        <w:rPr>
          <w:rFonts w:ascii="Bell MT" w:hAnsi="Bell MT"/>
          <w:sz w:val="24"/>
          <w:szCs w:val="24"/>
        </w:rPr>
      </w:pPr>
      <w:r w:rsidRPr="009C0E40">
        <w:rPr>
          <w:rFonts w:ascii="Bell MT" w:hAnsi="Bell MT"/>
          <w:sz w:val="24"/>
          <w:szCs w:val="24"/>
        </w:rPr>
        <w:t>Carlson, R., 2021. Important Ratios for Cash Flow Analysis. [online] The Balance Small Business. Available at: &lt;https://www.thebalancesmb.com/ratios-for-cash-flow-analysis-393116&gt; [Accessed 14 July 2021].</w:t>
      </w:r>
    </w:p>
    <w:p w:rsidR="009C0E40" w:rsidRPr="003E3A83" w:rsidP="008A0B6B" w14:paraId="596EECA3" w14:textId="77777777">
      <w:pPr>
        <w:spacing w:line="480" w:lineRule="auto"/>
        <w:jc w:val="both"/>
        <w:rPr>
          <w:rFonts w:ascii="Bell MT" w:hAnsi="Bell MT"/>
          <w:sz w:val="24"/>
          <w:szCs w:val="24"/>
        </w:rPr>
      </w:pPr>
    </w:p>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37390488"/>
      <w:docPartObj>
        <w:docPartGallery w:val="Page Numbers (Top of Page)"/>
        <w:docPartUnique/>
      </w:docPartObj>
    </w:sdtPr>
    <w:sdtEndPr>
      <w:rPr>
        <w:noProof/>
      </w:rPr>
    </w:sdtEndPr>
    <w:sdtContent>
      <w:p w:rsidR="00DF12F8" w14:paraId="706971B5" w14:textId="52DB5B4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DF12F8" w14:paraId="4B4B6AD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150751"/>
    <w:multiLevelType w:val="multilevel"/>
    <w:tmpl w:val="A4142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FA02F9"/>
    <w:multiLevelType w:val="hybridMultilevel"/>
    <w:tmpl w:val="158295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3834D41"/>
    <w:multiLevelType w:val="hybridMultilevel"/>
    <w:tmpl w:val="1B3AEAB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EF9"/>
    <w:rsid w:val="0002770D"/>
    <w:rsid w:val="00031783"/>
    <w:rsid w:val="000F10B7"/>
    <w:rsid w:val="001310D3"/>
    <w:rsid w:val="00145F43"/>
    <w:rsid w:val="00157F4F"/>
    <w:rsid w:val="001A64A4"/>
    <w:rsid w:val="001A74C5"/>
    <w:rsid w:val="001F3C76"/>
    <w:rsid w:val="00286767"/>
    <w:rsid w:val="002962EB"/>
    <w:rsid w:val="002A6DFD"/>
    <w:rsid w:val="002B6276"/>
    <w:rsid w:val="002C2904"/>
    <w:rsid w:val="002E2C84"/>
    <w:rsid w:val="002E2EFC"/>
    <w:rsid w:val="002F5150"/>
    <w:rsid w:val="00323EC9"/>
    <w:rsid w:val="003A017B"/>
    <w:rsid w:val="003A3DC6"/>
    <w:rsid w:val="003B6EFD"/>
    <w:rsid w:val="003E3A83"/>
    <w:rsid w:val="003F2F84"/>
    <w:rsid w:val="0042633C"/>
    <w:rsid w:val="00441592"/>
    <w:rsid w:val="00480997"/>
    <w:rsid w:val="00482911"/>
    <w:rsid w:val="004A2721"/>
    <w:rsid w:val="004B1A93"/>
    <w:rsid w:val="005161F5"/>
    <w:rsid w:val="00521236"/>
    <w:rsid w:val="00533926"/>
    <w:rsid w:val="00544BE7"/>
    <w:rsid w:val="005A6EF9"/>
    <w:rsid w:val="005D4F83"/>
    <w:rsid w:val="005F6D5E"/>
    <w:rsid w:val="006058F3"/>
    <w:rsid w:val="0060633D"/>
    <w:rsid w:val="0062307E"/>
    <w:rsid w:val="0064568D"/>
    <w:rsid w:val="006533E1"/>
    <w:rsid w:val="00692F05"/>
    <w:rsid w:val="00696957"/>
    <w:rsid w:val="00766B12"/>
    <w:rsid w:val="007C42DE"/>
    <w:rsid w:val="00814790"/>
    <w:rsid w:val="00891879"/>
    <w:rsid w:val="008974D9"/>
    <w:rsid w:val="008A0B6B"/>
    <w:rsid w:val="008B4863"/>
    <w:rsid w:val="00907C81"/>
    <w:rsid w:val="00912B55"/>
    <w:rsid w:val="00945EFB"/>
    <w:rsid w:val="0098779B"/>
    <w:rsid w:val="00991E69"/>
    <w:rsid w:val="009C0E40"/>
    <w:rsid w:val="009F13E6"/>
    <w:rsid w:val="00A12FD4"/>
    <w:rsid w:val="00A20F25"/>
    <w:rsid w:val="00A61D20"/>
    <w:rsid w:val="00A63233"/>
    <w:rsid w:val="00A63CC8"/>
    <w:rsid w:val="00AA3222"/>
    <w:rsid w:val="00AA6A8E"/>
    <w:rsid w:val="00AE0A87"/>
    <w:rsid w:val="00AE372E"/>
    <w:rsid w:val="00B075F7"/>
    <w:rsid w:val="00B33CD1"/>
    <w:rsid w:val="00B46EFF"/>
    <w:rsid w:val="00B871CB"/>
    <w:rsid w:val="00B87ACB"/>
    <w:rsid w:val="00BC588E"/>
    <w:rsid w:val="00C33F94"/>
    <w:rsid w:val="00C364B8"/>
    <w:rsid w:val="00C81BE6"/>
    <w:rsid w:val="00C85CB4"/>
    <w:rsid w:val="00C87480"/>
    <w:rsid w:val="00CB47EE"/>
    <w:rsid w:val="00CF0B5A"/>
    <w:rsid w:val="00D32DDB"/>
    <w:rsid w:val="00D717E8"/>
    <w:rsid w:val="00D9511A"/>
    <w:rsid w:val="00D95159"/>
    <w:rsid w:val="00DD6ADA"/>
    <w:rsid w:val="00DF12F8"/>
    <w:rsid w:val="00DF4022"/>
    <w:rsid w:val="00E15236"/>
    <w:rsid w:val="00E34520"/>
    <w:rsid w:val="00E51EBC"/>
    <w:rsid w:val="00E66A66"/>
    <w:rsid w:val="00E8765A"/>
    <w:rsid w:val="00EA0F1E"/>
    <w:rsid w:val="00EA1C1C"/>
    <w:rsid w:val="00EB1002"/>
    <w:rsid w:val="00ED221C"/>
    <w:rsid w:val="00ED69B8"/>
    <w:rsid w:val="00F04509"/>
    <w:rsid w:val="00F0705B"/>
    <w:rsid w:val="00F50F0C"/>
    <w:rsid w:val="00F82743"/>
    <w:rsid w:val="00F92E9E"/>
    <w:rsid w:val="00FC12CB"/>
    <w:rsid w:val="00FC52B6"/>
    <w:rsid w:val="00FE06F6"/>
    <w:rsid w:val="00FE330B"/>
    <w:rsid w:val="00FF368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F29906"/>
  <w15:chartTrackingRefBased/>
  <w15:docId w15:val="{2B8EA943-7551-48A4-96A7-86B8B2864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62EB"/>
    <w:pPr>
      <w:ind w:left="720"/>
      <w:contextualSpacing/>
    </w:pPr>
  </w:style>
  <w:style w:type="paragraph" w:styleId="NormalWeb">
    <w:name w:val="Normal (Web)"/>
    <w:basedOn w:val="Normal"/>
    <w:uiPriority w:val="99"/>
    <w:semiHidden/>
    <w:unhideWhenUsed/>
    <w:rsid w:val="002B6276"/>
    <w:rPr>
      <w:rFonts w:ascii="Times New Roman" w:hAnsi="Times New Roman" w:cs="Times New Roman"/>
      <w:sz w:val="24"/>
      <w:szCs w:val="24"/>
    </w:rPr>
  </w:style>
  <w:style w:type="paragraph" w:styleId="Header">
    <w:name w:val="header"/>
    <w:basedOn w:val="Normal"/>
    <w:link w:val="HeaderChar"/>
    <w:uiPriority w:val="99"/>
    <w:unhideWhenUsed/>
    <w:rsid w:val="00DF12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12F8"/>
  </w:style>
  <w:style w:type="paragraph" w:styleId="Footer">
    <w:name w:val="footer"/>
    <w:basedOn w:val="Normal"/>
    <w:link w:val="FooterChar"/>
    <w:uiPriority w:val="99"/>
    <w:unhideWhenUsed/>
    <w:rsid w:val="00DF12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12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Car21</b:Tag>
    <b:SourceType>BookSection</b:SourceType>
    <b:Guid>{64E4B492-3166-46A1-8DED-EFF4447969E2}</b:Guid>
    <b:Author>
      <b:Author>
        <b:NameList>
          <b:Person>
            <b:Last>Carlson</b:Last>
          </b:Person>
        </b:NameList>
      </b:Author>
    </b:Author>
    <b:Year>2021</b:Year>
    <b:RefOrder>1</b:RefOrder>
  </b:Source>
</b:Sources>
</file>

<file path=customXml/itemProps1.xml><?xml version="1.0" encoding="utf-8"?>
<ds:datastoreItem xmlns:ds="http://schemas.openxmlformats.org/officeDocument/2006/customXml" ds:itemID="{D44E50DC-4A22-465E-9959-6BBD2B5CB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360</Words>
  <Characters>2057</Characters>
  <Application>Microsoft Office Word</Application>
  <DocSecurity>0</DocSecurity>
  <Lines>17</Lines>
  <Paragraphs>4</Paragraphs>
  <ScaleCrop>false</ScaleCrop>
  <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steveyoung640@gmail.com</dc:creator>
  <cp:lastModifiedBy>steveyoung640@gmail.com</cp:lastModifiedBy>
  <cp:revision>106</cp:revision>
  <dcterms:created xsi:type="dcterms:W3CDTF">2021-07-14T01:37:00Z</dcterms:created>
  <dcterms:modified xsi:type="dcterms:W3CDTF">2021-07-14T03:15:00Z</dcterms:modified>
</cp:coreProperties>
</file>